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AAEE8" w14:textId="3681E072" w:rsidR="007574F2" w:rsidRDefault="00182CEC">
      <w:pPr>
        <w:jc w:val="center"/>
        <w:rPr>
          <w:rFonts w:ascii="黑体" w:eastAsia="黑体" w:hAnsi="黑体"/>
          <w:sz w:val="30"/>
          <w:szCs w:val="30"/>
        </w:rPr>
      </w:pPr>
      <w:r>
        <w:rPr>
          <w:rFonts w:ascii="黑体" w:eastAsia="黑体" w:hAnsi="黑体" w:hint="eastAsia"/>
          <w:sz w:val="30"/>
          <w:szCs w:val="30"/>
        </w:rPr>
        <w:t>关于</w:t>
      </w:r>
      <w:r>
        <w:rPr>
          <w:rFonts w:ascii="黑体" w:eastAsia="黑体" w:hAnsi="黑体"/>
          <w:sz w:val="30"/>
          <w:szCs w:val="30"/>
        </w:rPr>
        <w:t>2024级学生</w:t>
      </w:r>
      <w:r>
        <w:rPr>
          <w:rFonts w:ascii="黑体" w:eastAsia="黑体" w:hAnsi="黑体" w:hint="eastAsia"/>
          <w:sz w:val="30"/>
          <w:szCs w:val="30"/>
        </w:rPr>
        <w:t>学费缴纳的</w:t>
      </w:r>
      <w:r>
        <w:rPr>
          <w:rFonts w:ascii="黑体" w:eastAsia="黑体" w:hAnsi="黑体"/>
          <w:sz w:val="30"/>
          <w:szCs w:val="30"/>
        </w:rPr>
        <w:t>情况说明</w:t>
      </w:r>
    </w:p>
    <w:p w14:paraId="1F513797" w14:textId="77777777" w:rsidR="007574F2" w:rsidRDefault="00182CEC">
      <w:pPr>
        <w:spacing w:line="480" w:lineRule="exact"/>
        <w:rPr>
          <w:rFonts w:ascii="华文仿宋" w:eastAsia="华文仿宋" w:hAnsi="华文仿宋"/>
          <w:b/>
          <w:sz w:val="28"/>
          <w:szCs w:val="28"/>
        </w:rPr>
      </w:pPr>
      <w:r>
        <w:rPr>
          <w:rFonts w:ascii="华文仿宋" w:eastAsia="华文仿宋" w:hAnsi="华文仿宋" w:hint="eastAsia"/>
          <w:b/>
          <w:sz w:val="28"/>
          <w:szCs w:val="28"/>
        </w:rPr>
        <w:t>各学院：</w:t>
      </w:r>
    </w:p>
    <w:p w14:paraId="5BD53960" w14:textId="437AE695" w:rsidR="007574F2" w:rsidRDefault="00182CEC">
      <w:pPr>
        <w:spacing w:line="480" w:lineRule="exact"/>
        <w:ind w:firstLine="564"/>
        <w:rPr>
          <w:rFonts w:ascii="华文仿宋" w:eastAsia="华文仿宋" w:hAnsi="华文仿宋"/>
          <w:sz w:val="28"/>
          <w:szCs w:val="28"/>
        </w:rPr>
      </w:pPr>
      <w:r>
        <w:rPr>
          <w:rFonts w:ascii="华文仿宋" w:eastAsia="华文仿宋" w:hAnsi="华文仿宋" w:hint="eastAsia"/>
          <w:sz w:val="28"/>
          <w:szCs w:val="28"/>
        </w:rPr>
        <w:t>学校自</w:t>
      </w:r>
      <w:r>
        <w:rPr>
          <w:rFonts w:ascii="华文仿宋" w:eastAsia="华文仿宋" w:hAnsi="华文仿宋"/>
          <w:sz w:val="28"/>
          <w:szCs w:val="28"/>
        </w:rPr>
        <w:t>2024年起，</w:t>
      </w:r>
      <w:r>
        <w:rPr>
          <w:rFonts w:ascii="华文仿宋" w:eastAsia="华文仿宋" w:hAnsi="华文仿宋" w:hint="eastAsia"/>
          <w:sz w:val="28"/>
          <w:szCs w:val="28"/>
        </w:rPr>
        <w:t>本科生</w:t>
      </w:r>
      <w:r>
        <w:rPr>
          <w:rFonts w:ascii="华文仿宋" w:eastAsia="华文仿宋" w:hAnsi="华文仿宋"/>
          <w:sz w:val="28"/>
          <w:szCs w:val="28"/>
        </w:rPr>
        <w:t>采用学分制教学培养模式，学费收费同步改为学分制收费模式</w:t>
      </w:r>
      <w:r>
        <w:rPr>
          <w:rFonts w:ascii="华文仿宋" w:eastAsia="华文仿宋" w:hAnsi="华文仿宋" w:hint="eastAsia"/>
          <w:sz w:val="28"/>
          <w:szCs w:val="28"/>
        </w:rPr>
        <w:t>（收费依据为赣发改价</w:t>
      </w:r>
      <w:r w:rsidR="00765568">
        <w:rPr>
          <w:rFonts w:ascii="华文仿宋" w:eastAsia="华文仿宋" w:hAnsi="华文仿宋" w:hint="eastAsia"/>
          <w:sz w:val="28"/>
          <w:szCs w:val="28"/>
        </w:rPr>
        <w:t>管</w:t>
      </w:r>
      <w:bookmarkStart w:id="0" w:name="_GoBack"/>
      <w:bookmarkEnd w:id="0"/>
      <w:r>
        <w:rPr>
          <w:rFonts w:ascii="华文仿宋" w:eastAsia="华文仿宋" w:hAnsi="华文仿宋" w:hint="eastAsia"/>
          <w:sz w:val="28"/>
          <w:szCs w:val="28"/>
        </w:rPr>
        <w:t>[</w:t>
      </w:r>
      <w:r>
        <w:rPr>
          <w:rFonts w:ascii="华文仿宋" w:eastAsia="华文仿宋" w:hAnsi="华文仿宋"/>
          <w:sz w:val="28"/>
          <w:szCs w:val="28"/>
        </w:rPr>
        <w:t>2023]726</w:t>
      </w:r>
      <w:r>
        <w:rPr>
          <w:rFonts w:ascii="华文仿宋" w:eastAsia="华文仿宋" w:hAnsi="华文仿宋" w:hint="eastAsia"/>
          <w:sz w:val="28"/>
          <w:szCs w:val="28"/>
        </w:rPr>
        <w:t>号文、校教字[</w:t>
      </w:r>
      <w:r>
        <w:rPr>
          <w:rFonts w:ascii="华文仿宋" w:eastAsia="华文仿宋" w:hAnsi="华文仿宋"/>
          <w:sz w:val="28"/>
          <w:szCs w:val="28"/>
        </w:rPr>
        <w:t>2024]19</w:t>
      </w:r>
      <w:r>
        <w:rPr>
          <w:rFonts w:ascii="华文仿宋" w:eastAsia="华文仿宋" w:hAnsi="华文仿宋" w:hint="eastAsia"/>
          <w:sz w:val="28"/>
          <w:szCs w:val="28"/>
        </w:rPr>
        <w:t>号文）</w:t>
      </w:r>
      <w:r>
        <w:rPr>
          <w:rFonts w:ascii="华文仿宋" w:eastAsia="华文仿宋" w:hAnsi="华文仿宋"/>
          <w:sz w:val="28"/>
          <w:szCs w:val="28"/>
        </w:rPr>
        <w:t>。</w:t>
      </w:r>
    </w:p>
    <w:p w14:paraId="6E6CE829" w14:textId="77777777" w:rsidR="007574F2" w:rsidRDefault="00182CEC">
      <w:pPr>
        <w:spacing w:line="480" w:lineRule="exact"/>
        <w:ind w:firstLine="564"/>
        <w:rPr>
          <w:rFonts w:ascii="华文仿宋" w:eastAsia="华文仿宋" w:hAnsi="华文仿宋"/>
          <w:b/>
          <w:sz w:val="28"/>
          <w:szCs w:val="28"/>
        </w:rPr>
      </w:pPr>
      <w:r>
        <w:rPr>
          <w:rFonts w:ascii="华文仿宋" w:eastAsia="华文仿宋" w:hAnsi="华文仿宋" w:hint="eastAsia"/>
          <w:b/>
          <w:sz w:val="28"/>
          <w:szCs w:val="28"/>
        </w:rPr>
        <w:t>一、学分制计费方式</w:t>
      </w:r>
    </w:p>
    <w:p w14:paraId="4785AF8B" w14:textId="77777777" w:rsidR="007574F2" w:rsidRDefault="00182CEC">
      <w:pPr>
        <w:spacing w:line="480" w:lineRule="exact"/>
        <w:ind w:firstLine="564"/>
        <w:rPr>
          <w:rFonts w:ascii="华文仿宋" w:eastAsia="华文仿宋" w:hAnsi="华文仿宋"/>
          <w:sz w:val="28"/>
          <w:szCs w:val="28"/>
        </w:rPr>
      </w:pPr>
      <w:r>
        <w:rPr>
          <w:rFonts w:ascii="华文仿宋" w:eastAsia="华文仿宋" w:hAnsi="华文仿宋" w:hint="eastAsia"/>
          <w:sz w:val="28"/>
          <w:szCs w:val="28"/>
        </w:rPr>
        <w:t>学分制收费是指按学生修读的学分数计收学费的教育收费管理制度。学分制学费由学分学费和专业学费两部分组成。学分制学费的计算公式为“学分制学费</w:t>
      </w:r>
      <w:r>
        <w:rPr>
          <w:rFonts w:ascii="华文仿宋" w:eastAsia="华文仿宋" w:hAnsi="华文仿宋"/>
          <w:sz w:val="28"/>
          <w:szCs w:val="28"/>
        </w:rPr>
        <w:t>=学分学费标准×总学分数+专业学费标准×标准学制”，其中：</w:t>
      </w:r>
    </w:p>
    <w:p w14:paraId="155BF2BA" w14:textId="34A10419" w:rsidR="007574F2" w:rsidRDefault="00182CEC">
      <w:pPr>
        <w:spacing w:line="480" w:lineRule="exact"/>
        <w:ind w:firstLine="564"/>
        <w:rPr>
          <w:rFonts w:ascii="华文仿宋" w:eastAsia="华文仿宋" w:hAnsi="华文仿宋"/>
          <w:sz w:val="28"/>
          <w:szCs w:val="28"/>
        </w:rPr>
      </w:pPr>
      <w:r>
        <w:rPr>
          <w:rFonts w:ascii="华文仿宋" w:eastAsia="华文仿宋" w:hAnsi="华文仿宋" w:hint="eastAsia"/>
          <w:b/>
          <w:sz w:val="28"/>
          <w:szCs w:val="28"/>
        </w:rPr>
        <w:t>学分学费标准</w:t>
      </w:r>
      <w:r>
        <w:rPr>
          <w:rFonts w:ascii="华文仿宋" w:eastAsia="华文仿宋" w:hAnsi="华文仿宋" w:hint="eastAsia"/>
          <w:sz w:val="28"/>
          <w:szCs w:val="28"/>
        </w:rPr>
        <w:t>——2024级学生学分学费统一为每学分</w:t>
      </w:r>
      <w:r>
        <w:rPr>
          <w:rFonts w:ascii="华文仿宋" w:eastAsia="华文仿宋" w:hAnsi="华文仿宋"/>
          <w:sz w:val="28"/>
          <w:szCs w:val="28"/>
        </w:rPr>
        <w:t>90元。</w:t>
      </w:r>
    </w:p>
    <w:p w14:paraId="063DEB16" w14:textId="77777777" w:rsidR="007574F2" w:rsidRDefault="00182CEC">
      <w:pPr>
        <w:spacing w:line="480" w:lineRule="exact"/>
        <w:ind w:firstLine="564"/>
        <w:rPr>
          <w:rFonts w:ascii="华文仿宋" w:eastAsia="华文仿宋" w:hAnsi="华文仿宋"/>
          <w:sz w:val="28"/>
          <w:szCs w:val="28"/>
        </w:rPr>
      </w:pPr>
      <w:r>
        <w:rPr>
          <w:rFonts w:ascii="华文仿宋" w:eastAsia="华文仿宋" w:hAnsi="华文仿宋" w:hint="eastAsia"/>
          <w:b/>
          <w:sz w:val="28"/>
          <w:szCs w:val="28"/>
        </w:rPr>
        <w:t>总学分数</w:t>
      </w:r>
      <w:r>
        <w:rPr>
          <w:rFonts w:ascii="华文仿宋" w:eastAsia="华文仿宋" w:hAnsi="华文仿宋" w:hint="eastAsia"/>
          <w:sz w:val="28"/>
          <w:szCs w:val="28"/>
        </w:rPr>
        <w:t>——依据各类专业教学质量国家标准，确定理工科类专业总学分为</w:t>
      </w:r>
      <w:r>
        <w:rPr>
          <w:rFonts w:ascii="华文仿宋" w:eastAsia="华文仿宋" w:hAnsi="华文仿宋"/>
          <w:sz w:val="28"/>
          <w:szCs w:val="28"/>
        </w:rPr>
        <w:t>175学分，非理工科类专业总学分为165学分。</w:t>
      </w:r>
    </w:p>
    <w:p w14:paraId="232B666E" w14:textId="77777777" w:rsidR="007574F2" w:rsidRDefault="00182CEC">
      <w:pPr>
        <w:adjustRightInd w:val="0"/>
        <w:snapToGrid w:val="0"/>
        <w:spacing w:line="560" w:lineRule="exact"/>
        <w:ind w:firstLineChars="200" w:firstLine="561"/>
        <w:rPr>
          <w:rFonts w:ascii="华文仿宋" w:eastAsia="华文仿宋" w:hAnsi="华文仿宋" w:cs="仿宋_GB2312"/>
          <w:kern w:val="21"/>
          <w:sz w:val="28"/>
          <w:szCs w:val="28"/>
        </w:rPr>
      </w:pPr>
      <w:r>
        <w:rPr>
          <w:rFonts w:ascii="华文仿宋" w:eastAsia="华文仿宋" w:hAnsi="华文仿宋" w:cs="楷体_GB2312" w:hint="eastAsia"/>
          <w:b/>
          <w:kern w:val="21"/>
          <w:sz w:val="28"/>
          <w:szCs w:val="28"/>
        </w:rPr>
        <w:t>专业学费标准</w:t>
      </w:r>
      <w:r>
        <w:rPr>
          <w:rFonts w:ascii="华文仿宋" w:eastAsia="华文仿宋" w:hAnsi="华文仿宋" w:cs="仿宋_GB2312" w:hint="eastAsia"/>
          <w:kern w:val="21"/>
          <w:sz w:val="28"/>
          <w:szCs w:val="28"/>
        </w:rPr>
        <w:t>——以不同专业的生均培养成本为计算基础，依据“</w:t>
      </w:r>
      <w:bookmarkStart w:id="1" w:name="OLE_LINK1"/>
      <w:r>
        <w:rPr>
          <w:rFonts w:ascii="华文仿宋" w:eastAsia="华文仿宋" w:hAnsi="华文仿宋" w:cs="仿宋_GB2312" w:hint="eastAsia"/>
          <w:kern w:val="21"/>
          <w:sz w:val="28"/>
          <w:szCs w:val="28"/>
        </w:rPr>
        <w:t>学生缴纳的学费总额原则上不得高于实行学年制的学费总额</w:t>
      </w:r>
      <w:bookmarkEnd w:id="1"/>
      <w:r>
        <w:rPr>
          <w:rFonts w:ascii="华文仿宋" w:eastAsia="华文仿宋" w:hAnsi="华文仿宋" w:cs="仿宋_GB2312" w:hint="eastAsia"/>
          <w:kern w:val="21"/>
          <w:sz w:val="28"/>
          <w:szCs w:val="28"/>
        </w:rPr>
        <w:t>”的要求，在学分制学费中扣除学分学费后，按标准学制每年收取的学费。</w:t>
      </w:r>
    </w:p>
    <w:p w14:paraId="4B91806F" w14:textId="77777777" w:rsidR="007574F2" w:rsidRDefault="00182CEC">
      <w:pPr>
        <w:spacing w:line="480" w:lineRule="exact"/>
        <w:ind w:firstLineChars="200" w:firstLine="560"/>
        <w:rPr>
          <w:rFonts w:ascii="华文仿宋" w:eastAsia="华文仿宋" w:hAnsi="华文仿宋" w:cs="仿宋_GB2312"/>
          <w:kern w:val="21"/>
          <w:sz w:val="28"/>
          <w:szCs w:val="28"/>
        </w:rPr>
      </w:pPr>
      <w:r>
        <w:rPr>
          <w:rFonts w:ascii="华文仿宋" w:eastAsia="华文仿宋" w:hAnsi="华文仿宋" w:cs="仿宋_GB2312" w:hint="eastAsia"/>
          <w:kern w:val="21"/>
          <w:sz w:val="28"/>
          <w:szCs w:val="28"/>
        </w:rPr>
        <w:t>本科各专业（不含国际合作办学）转换为学分制学费标准如下表所示：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1290"/>
        <w:gridCol w:w="1215"/>
        <w:gridCol w:w="1020"/>
        <w:gridCol w:w="945"/>
        <w:gridCol w:w="1095"/>
      </w:tblGrid>
      <w:tr w:rsidR="007574F2" w14:paraId="7E84801B" w14:textId="77777777">
        <w:trPr>
          <w:trHeight w:val="1016"/>
          <w:jc w:val="center"/>
        </w:trPr>
        <w:tc>
          <w:tcPr>
            <w:tcW w:w="3720" w:type="dxa"/>
            <w:vAlign w:val="center"/>
          </w:tcPr>
          <w:p w14:paraId="09176A6F" w14:textId="77777777" w:rsidR="007574F2" w:rsidRDefault="00182CEC">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专业</w:t>
            </w:r>
          </w:p>
        </w:tc>
        <w:tc>
          <w:tcPr>
            <w:tcW w:w="1290" w:type="dxa"/>
            <w:vAlign w:val="center"/>
          </w:tcPr>
          <w:p w14:paraId="1BF25DC8" w14:textId="77777777" w:rsidR="007574F2" w:rsidRDefault="00182CEC">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学分制收费总额（元）</w:t>
            </w:r>
          </w:p>
        </w:tc>
        <w:tc>
          <w:tcPr>
            <w:tcW w:w="1215" w:type="dxa"/>
            <w:vAlign w:val="center"/>
          </w:tcPr>
          <w:p w14:paraId="7A53F565" w14:textId="77777777" w:rsidR="007574F2" w:rsidRDefault="00182CEC">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毕业应修最低教学学分</w:t>
            </w:r>
          </w:p>
        </w:tc>
        <w:tc>
          <w:tcPr>
            <w:tcW w:w="1020" w:type="dxa"/>
            <w:vAlign w:val="center"/>
          </w:tcPr>
          <w:p w14:paraId="46379FF6" w14:textId="77777777" w:rsidR="007574F2" w:rsidRDefault="00182CEC">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每学分收费金额（元）</w:t>
            </w:r>
          </w:p>
        </w:tc>
        <w:tc>
          <w:tcPr>
            <w:tcW w:w="945" w:type="dxa"/>
            <w:vAlign w:val="center"/>
          </w:tcPr>
          <w:p w14:paraId="4C6685E8" w14:textId="77777777" w:rsidR="007574F2" w:rsidRDefault="00182CEC">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学分学费总额（元）</w:t>
            </w:r>
          </w:p>
        </w:tc>
        <w:tc>
          <w:tcPr>
            <w:tcW w:w="1095" w:type="dxa"/>
            <w:vAlign w:val="center"/>
          </w:tcPr>
          <w:p w14:paraId="3E2DBBE1" w14:textId="77777777" w:rsidR="007574F2" w:rsidRDefault="00182CEC">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每学年专业学费（元）</w:t>
            </w:r>
          </w:p>
        </w:tc>
      </w:tr>
      <w:tr w:rsidR="007574F2" w14:paraId="253ED843" w14:textId="77777777">
        <w:trPr>
          <w:trHeight w:val="1067"/>
          <w:jc w:val="center"/>
        </w:trPr>
        <w:tc>
          <w:tcPr>
            <w:tcW w:w="3720" w:type="dxa"/>
            <w:vAlign w:val="center"/>
          </w:tcPr>
          <w:p w14:paraId="0C0AC28A" w14:textId="77777777" w:rsidR="007574F2" w:rsidRDefault="00182CEC">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法学、英语、德语、公共事业管理、经济学、工商管理、新闻学</w:t>
            </w:r>
          </w:p>
        </w:tc>
        <w:tc>
          <w:tcPr>
            <w:tcW w:w="1290" w:type="dxa"/>
            <w:noWrap/>
            <w:vAlign w:val="center"/>
          </w:tcPr>
          <w:p w14:paraId="68B1677B" w14:textId="77777777" w:rsidR="007574F2" w:rsidRDefault="00182CEC">
            <w:pPr>
              <w:jc w:val="center"/>
            </w:pPr>
            <w:r>
              <w:t>17080</w:t>
            </w:r>
          </w:p>
        </w:tc>
        <w:tc>
          <w:tcPr>
            <w:tcW w:w="1215" w:type="dxa"/>
            <w:noWrap/>
            <w:vAlign w:val="center"/>
          </w:tcPr>
          <w:p w14:paraId="7250F19D" w14:textId="77777777" w:rsidR="007574F2" w:rsidRDefault="00182CEC">
            <w:pPr>
              <w:jc w:val="center"/>
            </w:pPr>
            <w:r>
              <w:t>165</w:t>
            </w:r>
          </w:p>
        </w:tc>
        <w:tc>
          <w:tcPr>
            <w:tcW w:w="1020" w:type="dxa"/>
            <w:noWrap/>
            <w:vAlign w:val="center"/>
          </w:tcPr>
          <w:p w14:paraId="53070674" w14:textId="77777777" w:rsidR="007574F2" w:rsidRDefault="00182CEC">
            <w:pPr>
              <w:jc w:val="center"/>
            </w:pPr>
            <w:r>
              <w:t>90</w:t>
            </w:r>
          </w:p>
        </w:tc>
        <w:tc>
          <w:tcPr>
            <w:tcW w:w="945" w:type="dxa"/>
            <w:noWrap/>
            <w:vAlign w:val="center"/>
          </w:tcPr>
          <w:p w14:paraId="229CA939" w14:textId="77777777" w:rsidR="007574F2" w:rsidRDefault="00182CEC">
            <w:pPr>
              <w:jc w:val="center"/>
            </w:pPr>
            <w:r>
              <w:t>14850</w:t>
            </w:r>
          </w:p>
        </w:tc>
        <w:tc>
          <w:tcPr>
            <w:tcW w:w="1095" w:type="dxa"/>
            <w:noWrap/>
            <w:vAlign w:val="center"/>
          </w:tcPr>
          <w:p w14:paraId="7D87416D" w14:textId="77777777" w:rsidR="007574F2" w:rsidRDefault="00182CEC">
            <w:pPr>
              <w:jc w:val="center"/>
            </w:pPr>
            <w:r>
              <w:t>557.5</w:t>
            </w:r>
          </w:p>
        </w:tc>
      </w:tr>
      <w:tr w:rsidR="007574F2" w14:paraId="0F2FFF51" w14:textId="77777777">
        <w:trPr>
          <w:trHeight w:val="627"/>
          <w:jc w:val="center"/>
        </w:trPr>
        <w:tc>
          <w:tcPr>
            <w:tcW w:w="3720" w:type="dxa"/>
            <w:vAlign w:val="center"/>
          </w:tcPr>
          <w:p w14:paraId="756F521F" w14:textId="77777777" w:rsidR="007574F2" w:rsidRDefault="00182CEC">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工业工程、工程管理</w:t>
            </w:r>
          </w:p>
        </w:tc>
        <w:tc>
          <w:tcPr>
            <w:tcW w:w="1290" w:type="dxa"/>
            <w:noWrap/>
            <w:vAlign w:val="center"/>
          </w:tcPr>
          <w:p w14:paraId="73CE512F" w14:textId="77777777" w:rsidR="007574F2" w:rsidRDefault="00182CEC">
            <w:pPr>
              <w:jc w:val="center"/>
            </w:pPr>
            <w:r>
              <w:t>17080</w:t>
            </w:r>
          </w:p>
        </w:tc>
        <w:tc>
          <w:tcPr>
            <w:tcW w:w="1215" w:type="dxa"/>
            <w:noWrap/>
            <w:vAlign w:val="center"/>
          </w:tcPr>
          <w:p w14:paraId="2BA4F0BA" w14:textId="77777777" w:rsidR="007574F2" w:rsidRDefault="00182CEC">
            <w:pPr>
              <w:jc w:val="center"/>
            </w:pPr>
            <w:r>
              <w:t>175</w:t>
            </w:r>
          </w:p>
        </w:tc>
        <w:tc>
          <w:tcPr>
            <w:tcW w:w="1020" w:type="dxa"/>
            <w:noWrap/>
            <w:vAlign w:val="center"/>
          </w:tcPr>
          <w:p w14:paraId="3EAA5FD7" w14:textId="77777777" w:rsidR="007574F2" w:rsidRDefault="00182CEC">
            <w:pPr>
              <w:jc w:val="center"/>
            </w:pPr>
            <w:r>
              <w:t>90</w:t>
            </w:r>
          </w:p>
        </w:tc>
        <w:tc>
          <w:tcPr>
            <w:tcW w:w="945" w:type="dxa"/>
            <w:noWrap/>
            <w:vAlign w:val="center"/>
          </w:tcPr>
          <w:p w14:paraId="00231156" w14:textId="77777777" w:rsidR="007574F2" w:rsidRDefault="00182CEC">
            <w:pPr>
              <w:jc w:val="center"/>
            </w:pPr>
            <w:r>
              <w:t>15750</w:t>
            </w:r>
          </w:p>
        </w:tc>
        <w:tc>
          <w:tcPr>
            <w:tcW w:w="1095" w:type="dxa"/>
            <w:noWrap/>
            <w:vAlign w:val="center"/>
          </w:tcPr>
          <w:p w14:paraId="345F0752" w14:textId="77777777" w:rsidR="007574F2" w:rsidRDefault="00182CEC">
            <w:pPr>
              <w:jc w:val="center"/>
            </w:pPr>
            <w:r>
              <w:t>332.5</w:t>
            </w:r>
          </w:p>
        </w:tc>
      </w:tr>
      <w:tr w:rsidR="007574F2" w14:paraId="191EE218" w14:textId="77777777">
        <w:trPr>
          <w:trHeight w:val="4119"/>
          <w:jc w:val="center"/>
        </w:trPr>
        <w:tc>
          <w:tcPr>
            <w:tcW w:w="3720" w:type="dxa"/>
            <w:vAlign w:val="center"/>
          </w:tcPr>
          <w:p w14:paraId="2D647C7C" w14:textId="77777777" w:rsidR="007574F2" w:rsidRDefault="00182CEC">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焊接技术与工程、材料成型及控制工程、应用化学、材料化学、金属材料工程、高分子材料工程、复合材料与工程、环境工程、机械设计制造及其自动化、飞行技术、飞行器适航技术、飞行器制造工程、飞行器动力工程、飞行器设计与工程、测控技术与仪器、交通工程、数学与应用数学、智能制造工程、</w:t>
            </w:r>
            <w:proofErr w:type="gramStart"/>
            <w:r>
              <w:rPr>
                <w:rFonts w:ascii="仿宋_GB2312" w:eastAsia="仿宋_GB2312" w:hAnsi="宋体" w:cs="宋体" w:hint="eastAsia"/>
                <w:color w:val="000000"/>
                <w:kern w:val="0"/>
                <w:sz w:val="24"/>
              </w:rPr>
              <w:t>增材制造</w:t>
            </w:r>
            <w:proofErr w:type="gramEnd"/>
            <w:r>
              <w:rPr>
                <w:rFonts w:ascii="仿宋_GB2312" w:eastAsia="仿宋_GB2312" w:hAnsi="宋体" w:cs="宋体" w:hint="eastAsia"/>
                <w:color w:val="000000"/>
                <w:kern w:val="0"/>
                <w:sz w:val="24"/>
              </w:rPr>
              <w:t>工程、新能源科学与工程、能源与动力工程、无人驾驶航空器系统工程</w:t>
            </w:r>
          </w:p>
        </w:tc>
        <w:tc>
          <w:tcPr>
            <w:tcW w:w="1290" w:type="dxa"/>
            <w:noWrap/>
            <w:vAlign w:val="center"/>
          </w:tcPr>
          <w:p w14:paraId="6596CA86" w14:textId="77777777" w:rsidR="007574F2" w:rsidRDefault="00182CEC">
            <w:pPr>
              <w:jc w:val="center"/>
            </w:pPr>
            <w:r>
              <w:t>18120</w:t>
            </w:r>
          </w:p>
        </w:tc>
        <w:tc>
          <w:tcPr>
            <w:tcW w:w="1215" w:type="dxa"/>
            <w:noWrap/>
            <w:vAlign w:val="center"/>
          </w:tcPr>
          <w:p w14:paraId="54980EA8" w14:textId="77777777" w:rsidR="007574F2" w:rsidRDefault="00182CEC">
            <w:pPr>
              <w:jc w:val="center"/>
            </w:pPr>
            <w:r>
              <w:t>175</w:t>
            </w:r>
          </w:p>
        </w:tc>
        <w:tc>
          <w:tcPr>
            <w:tcW w:w="1020" w:type="dxa"/>
            <w:noWrap/>
            <w:vAlign w:val="center"/>
          </w:tcPr>
          <w:p w14:paraId="2802FAC0" w14:textId="77777777" w:rsidR="007574F2" w:rsidRDefault="00182CEC">
            <w:pPr>
              <w:jc w:val="center"/>
            </w:pPr>
            <w:r>
              <w:t>90</w:t>
            </w:r>
          </w:p>
        </w:tc>
        <w:tc>
          <w:tcPr>
            <w:tcW w:w="945" w:type="dxa"/>
            <w:noWrap/>
            <w:vAlign w:val="center"/>
          </w:tcPr>
          <w:p w14:paraId="32024427" w14:textId="77777777" w:rsidR="007574F2" w:rsidRDefault="00182CEC">
            <w:pPr>
              <w:jc w:val="center"/>
            </w:pPr>
            <w:r>
              <w:t>15750</w:t>
            </w:r>
          </w:p>
        </w:tc>
        <w:tc>
          <w:tcPr>
            <w:tcW w:w="1095" w:type="dxa"/>
            <w:noWrap/>
            <w:vAlign w:val="center"/>
          </w:tcPr>
          <w:p w14:paraId="2A72F785" w14:textId="77777777" w:rsidR="007574F2" w:rsidRDefault="00182CEC">
            <w:pPr>
              <w:jc w:val="center"/>
            </w:pPr>
            <w:r>
              <w:t>592.5</w:t>
            </w:r>
          </w:p>
        </w:tc>
      </w:tr>
      <w:tr w:rsidR="007574F2" w14:paraId="47046E94" w14:textId="77777777">
        <w:trPr>
          <w:trHeight w:val="694"/>
          <w:jc w:val="center"/>
        </w:trPr>
        <w:tc>
          <w:tcPr>
            <w:tcW w:w="3720" w:type="dxa"/>
            <w:vAlign w:val="center"/>
          </w:tcPr>
          <w:p w14:paraId="1303D6CC" w14:textId="77777777" w:rsidR="007574F2" w:rsidRDefault="00182CEC">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电子商务</w:t>
            </w:r>
          </w:p>
        </w:tc>
        <w:tc>
          <w:tcPr>
            <w:tcW w:w="1290" w:type="dxa"/>
            <w:noWrap/>
            <w:vAlign w:val="center"/>
          </w:tcPr>
          <w:p w14:paraId="4FDD4654" w14:textId="77777777" w:rsidR="007574F2" w:rsidRDefault="00182CEC">
            <w:pPr>
              <w:jc w:val="center"/>
            </w:pPr>
            <w:r>
              <w:t>19160</w:t>
            </w:r>
          </w:p>
        </w:tc>
        <w:tc>
          <w:tcPr>
            <w:tcW w:w="1215" w:type="dxa"/>
            <w:noWrap/>
            <w:vAlign w:val="center"/>
          </w:tcPr>
          <w:p w14:paraId="6409BE72" w14:textId="77777777" w:rsidR="007574F2" w:rsidRDefault="00182CEC">
            <w:pPr>
              <w:jc w:val="center"/>
            </w:pPr>
            <w:r>
              <w:t>165</w:t>
            </w:r>
          </w:p>
        </w:tc>
        <w:tc>
          <w:tcPr>
            <w:tcW w:w="1020" w:type="dxa"/>
            <w:noWrap/>
            <w:vAlign w:val="center"/>
          </w:tcPr>
          <w:p w14:paraId="52A611B2" w14:textId="77777777" w:rsidR="007574F2" w:rsidRDefault="00182CEC">
            <w:pPr>
              <w:jc w:val="center"/>
            </w:pPr>
            <w:r>
              <w:t>90</w:t>
            </w:r>
          </w:p>
        </w:tc>
        <w:tc>
          <w:tcPr>
            <w:tcW w:w="945" w:type="dxa"/>
            <w:noWrap/>
            <w:vAlign w:val="center"/>
          </w:tcPr>
          <w:p w14:paraId="433503AB" w14:textId="77777777" w:rsidR="007574F2" w:rsidRDefault="00182CEC">
            <w:pPr>
              <w:jc w:val="center"/>
            </w:pPr>
            <w:r>
              <w:t>14850</w:t>
            </w:r>
          </w:p>
        </w:tc>
        <w:tc>
          <w:tcPr>
            <w:tcW w:w="1095" w:type="dxa"/>
            <w:noWrap/>
            <w:vAlign w:val="center"/>
          </w:tcPr>
          <w:p w14:paraId="5FED0F09" w14:textId="77777777" w:rsidR="007574F2" w:rsidRDefault="00182CEC">
            <w:pPr>
              <w:jc w:val="center"/>
            </w:pPr>
            <w:r>
              <w:t>1077.5</w:t>
            </w:r>
          </w:p>
        </w:tc>
      </w:tr>
      <w:tr w:rsidR="007574F2" w14:paraId="03CCE08C" w14:textId="77777777">
        <w:trPr>
          <w:trHeight w:val="2696"/>
          <w:jc w:val="center"/>
        </w:trPr>
        <w:tc>
          <w:tcPr>
            <w:tcW w:w="3720" w:type="dxa"/>
            <w:vAlign w:val="center"/>
          </w:tcPr>
          <w:p w14:paraId="1BA3A34D" w14:textId="77777777" w:rsidR="007574F2" w:rsidRDefault="00182CEC">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电子信息工程、通信工程、计算机科学与技术、电子科学与技术、生物医学工程、自动化、网络工程、光电信息科学与工程、土木工程、给排水科学与工程、电气工程及其自动化、物联网工程、电子封装技术、数据科学与大数据技术、人工智能、智慧建筑与建造</w:t>
            </w:r>
          </w:p>
        </w:tc>
        <w:tc>
          <w:tcPr>
            <w:tcW w:w="1290" w:type="dxa"/>
            <w:noWrap/>
            <w:vAlign w:val="center"/>
          </w:tcPr>
          <w:p w14:paraId="3CFB41FA" w14:textId="77777777" w:rsidR="007574F2" w:rsidRDefault="00182CEC">
            <w:pPr>
              <w:jc w:val="center"/>
            </w:pPr>
            <w:r>
              <w:t>19160</w:t>
            </w:r>
          </w:p>
        </w:tc>
        <w:tc>
          <w:tcPr>
            <w:tcW w:w="1215" w:type="dxa"/>
            <w:noWrap/>
            <w:vAlign w:val="center"/>
          </w:tcPr>
          <w:p w14:paraId="6E1C4DDF" w14:textId="77777777" w:rsidR="007574F2" w:rsidRDefault="00182CEC">
            <w:pPr>
              <w:jc w:val="center"/>
            </w:pPr>
            <w:r>
              <w:t>175</w:t>
            </w:r>
          </w:p>
        </w:tc>
        <w:tc>
          <w:tcPr>
            <w:tcW w:w="1020" w:type="dxa"/>
            <w:noWrap/>
            <w:vAlign w:val="center"/>
          </w:tcPr>
          <w:p w14:paraId="70DB32CC" w14:textId="77777777" w:rsidR="007574F2" w:rsidRDefault="00182CEC">
            <w:pPr>
              <w:jc w:val="center"/>
            </w:pPr>
            <w:r>
              <w:t>90</w:t>
            </w:r>
          </w:p>
        </w:tc>
        <w:tc>
          <w:tcPr>
            <w:tcW w:w="945" w:type="dxa"/>
            <w:noWrap/>
            <w:vAlign w:val="center"/>
          </w:tcPr>
          <w:p w14:paraId="7951E136" w14:textId="77777777" w:rsidR="007574F2" w:rsidRDefault="00182CEC">
            <w:pPr>
              <w:jc w:val="center"/>
            </w:pPr>
            <w:r>
              <w:t>15750</w:t>
            </w:r>
          </w:p>
        </w:tc>
        <w:tc>
          <w:tcPr>
            <w:tcW w:w="1095" w:type="dxa"/>
            <w:noWrap/>
            <w:vAlign w:val="center"/>
          </w:tcPr>
          <w:p w14:paraId="2184F096" w14:textId="77777777" w:rsidR="007574F2" w:rsidRDefault="00182CEC">
            <w:pPr>
              <w:jc w:val="center"/>
            </w:pPr>
            <w:r>
              <w:t>852.5</w:t>
            </w:r>
          </w:p>
        </w:tc>
      </w:tr>
      <w:tr w:rsidR="007574F2" w14:paraId="106F8295" w14:textId="77777777">
        <w:trPr>
          <w:trHeight w:val="1388"/>
          <w:jc w:val="center"/>
        </w:trPr>
        <w:tc>
          <w:tcPr>
            <w:tcW w:w="3720" w:type="dxa"/>
            <w:vAlign w:val="center"/>
          </w:tcPr>
          <w:p w14:paraId="28D90C7F" w14:textId="77777777" w:rsidR="007574F2" w:rsidRDefault="00182CEC">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环境设计、音乐学、动画、视觉传达设计、航空服务艺术与管理</w:t>
            </w:r>
          </w:p>
        </w:tc>
        <w:tc>
          <w:tcPr>
            <w:tcW w:w="1290" w:type="dxa"/>
            <w:noWrap/>
            <w:vAlign w:val="center"/>
          </w:tcPr>
          <w:p w14:paraId="06C94B99" w14:textId="77777777" w:rsidR="007574F2" w:rsidRDefault="00182CEC">
            <w:pPr>
              <w:jc w:val="center"/>
            </w:pPr>
            <w:r>
              <w:t>35200</w:t>
            </w:r>
          </w:p>
        </w:tc>
        <w:tc>
          <w:tcPr>
            <w:tcW w:w="1215" w:type="dxa"/>
            <w:noWrap/>
            <w:vAlign w:val="center"/>
          </w:tcPr>
          <w:p w14:paraId="5C6250AE" w14:textId="77777777" w:rsidR="007574F2" w:rsidRDefault="00182CEC">
            <w:pPr>
              <w:jc w:val="center"/>
            </w:pPr>
            <w:r>
              <w:t>165</w:t>
            </w:r>
          </w:p>
        </w:tc>
        <w:tc>
          <w:tcPr>
            <w:tcW w:w="1020" w:type="dxa"/>
            <w:noWrap/>
            <w:vAlign w:val="center"/>
          </w:tcPr>
          <w:p w14:paraId="35E88E48" w14:textId="77777777" w:rsidR="007574F2" w:rsidRDefault="00182CEC">
            <w:pPr>
              <w:jc w:val="center"/>
            </w:pPr>
            <w:r>
              <w:t>90</w:t>
            </w:r>
          </w:p>
        </w:tc>
        <w:tc>
          <w:tcPr>
            <w:tcW w:w="945" w:type="dxa"/>
            <w:noWrap/>
            <w:vAlign w:val="center"/>
          </w:tcPr>
          <w:p w14:paraId="2787C359" w14:textId="77777777" w:rsidR="007574F2" w:rsidRDefault="00182CEC">
            <w:pPr>
              <w:jc w:val="center"/>
            </w:pPr>
            <w:r>
              <w:t>14850</w:t>
            </w:r>
          </w:p>
        </w:tc>
        <w:tc>
          <w:tcPr>
            <w:tcW w:w="1095" w:type="dxa"/>
            <w:noWrap/>
            <w:vAlign w:val="center"/>
          </w:tcPr>
          <w:p w14:paraId="6AE929BE" w14:textId="77777777" w:rsidR="007574F2" w:rsidRDefault="00182CEC">
            <w:pPr>
              <w:jc w:val="center"/>
            </w:pPr>
            <w:r>
              <w:t>5087.5</w:t>
            </w:r>
          </w:p>
        </w:tc>
      </w:tr>
      <w:tr w:rsidR="007574F2" w14:paraId="2674C32B" w14:textId="77777777">
        <w:trPr>
          <w:trHeight w:val="651"/>
          <w:jc w:val="center"/>
        </w:trPr>
        <w:tc>
          <w:tcPr>
            <w:tcW w:w="3720" w:type="dxa"/>
            <w:vAlign w:val="center"/>
          </w:tcPr>
          <w:p w14:paraId="5D0DC546" w14:textId="77777777" w:rsidR="007574F2" w:rsidRDefault="00182CEC">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软件工程</w:t>
            </w:r>
          </w:p>
        </w:tc>
        <w:tc>
          <w:tcPr>
            <w:tcW w:w="1290" w:type="dxa"/>
            <w:noWrap/>
            <w:vAlign w:val="center"/>
          </w:tcPr>
          <w:p w14:paraId="10160FBB" w14:textId="77777777" w:rsidR="007574F2" w:rsidRDefault="00182CEC">
            <w:pPr>
              <w:jc w:val="center"/>
            </w:pPr>
            <w:r>
              <w:t>38000</w:t>
            </w:r>
          </w:p>
        </w:tc>
        <w:tc>
          <w:tcPr>
            <w:tcW w:w="1215" w:type="dxa"/>
            <w:noWrap/>
            <w:vAlign w:val="center"/>
          </w:tcPr>
          <w:p w14:paraId="02F517F8" w14:textId="77777777" w:rsidR="007574F2" w:rsidRDefault="00182CEC">
            <w:pPr>
              <w:jc w:val="center"/>
            </w:pPr>
            <w:r>
              <w:t>175</w:t>
            </w:r>
          </w:p>
        </w:tc>
        <w:tc>
          <w:tcPr>
            <w:tcW w:w="1020" w:type="dxa"/>
            <w:noWrap/>
            <w:vAlign w:val="center"/>
          </w:tcPr>
          <w:p w14:paraId="679ED10C" w14:textId="77777777" w:rsidR="007574F2" w:rsidRDefault="00182CEC">
            <w:pPr>
              <w:jc w:val="center"/>
            </w:pPr>
            <w:r>
              <w:t>90</w:t>
            </w:r>
          </w:p>
        </w:tc>
        <w:tc>
          <w:tcPr>
            <w:tcW w:w="945" w:type="dxa"/>
            <w:noWrap/>
            <w:vAlign w:val="center"/>
          </w:tcPr>
          <w:p w14:paraId="62822AF6" w14:textId="77777777" w:rsidR="007574F2" w:rsidRDefault="00182CEC">
            <w:pPr>
              <w:jc w:val="center"/>
            </w:pPr>
            <w:r>
              <w:t>15750</w:t>
            </w:r>
          </w:p>
        </w:tc>
        <w:tc>
          <w:tcPr>
            <w:tcW w:w="1095" w:type="dxa"/>
            <w:noWrap/>
            <w:vAlign w:val="center"/>
          </w:tcPr>
          <w:p w14:paraId="52D9A230" w14:textId="77777777" w:rsidR="007574F2" w:rsidRDefault="00182CEC">
            <w:pPr>
              <w:jc w:val="center"/>
            </w:pPr>
            <w:r>
              <w:t>5562.5</w:t>
            </w:r>
          </w:p>
        </w:tc>
      </w:tr>
    </w:tbl>
    <w:p w14:paraId="78C7B5C4" w14:textId="77777777" w:rsidR="007574F2" w:rsidRDefault="00182CEC">
      <w:pPr>
        <w:spacing w:line="480" w:lineRule="exact"/>
        <w:ind w:firstLine="564"/>
        <w:rPr>
          <w:rFonts w:ascii="华文仿宋" w:eastAsia="华文仿宋" w:hAnsi="华文仿宋"/>
          <w:b/>
          <w:sz w:val="28"/>
          <w:szCs w:val="28"/>
        </w:rPr>
      </w:pPr>
      <w:r>
        <w:rPr>
          <w:rFonts w:ascii="华文仿宋" w:eastAsia="华文仿宋" w:hAnsi="华文仿宋" w:hint="eastAsia"/>
          <w:b/>
          <w:sz w:val="28"/>
          <w:szCs w:val="28"/>
        </w:rPr>
        <w:t>二、学分制学费的收取办法</w:t>
      </w:r>
    </w:p>
    <w:p w14:paraId="57A67511" w14:textId="77777777" w:rsidR="007574F2" w:rsidRDefault="00182CEC">
      <w:pPr>
        <w:spacing w:line="480" w:lineRule="exact"/>
        <w:ind w:firstLine="564"/>
        <w:rPr>
          <w:rFonts w:ascii="华文仿宋" w:eastAsia="华文仿宋" w:hAnsi="华文仿宋"/>
          <w:sz w:val="28"/>
          <w:szCs w:val="28"/>
        </w:rPr>
      </w:pPr>
      <w:r>
        <w:rPr>
          <w:rFonts w:ascii="华文仿宋" w:eastAsia="华文仿宋" w:hAnsi="华文仿宋" w:hint="eastAsia"/>
          <w:sz w:val="28"/>
          <w:szCs w:val="28"/>
        </w:rPr>
        <w:t>专业学费按学年收取，学生每学年开学初缴清本学年专业学费。</w:t>
      </w:r>
    </w:p>
    <w:p w14:paraId="0986903E" w14:textId="77777777" w:rsidR="007574F2" w:rsidRDefault="00182CEC">
      <w:pPr>
        <w:spacing w:line="480" w:lineRule="exact"/>
        <w:ind w:firstLine="564"/>
        <w:rPr>
          <w:rFonts w:ascii="华文仿宋" w:eastAsia="华文仿宋" w:hAnsi="华文仿宋"/>
          <w:sz w:val="28"/>
          <w:szCs w:val="28"/>
        </w:rPr>
      </w:pPr>
      <w:r>
        <w:rPr>
          <w:rFonts w:ascii="华文仿宋" w:eastAsia="华文仿宋" w:hAnsi="华文仿宋" w:hint="eastAsia"/>
          <w:sz w:val="28"/>
          <w:szCs w:val="28"/>
        </w:rPr>
        <w:t>学分学费按照“先选课后交费”的原则，</w:t>
      </w:r>
      <w:r>
        <w:rPr>
          <w:rFonts w:ascii="华文仿宋" w:eastAsia="华文仿宋" w:hAnsi="华文仿宋"/>
          <w:sz w:val="28"/>
          <w:szCs w:val="28"/>
        </w:rPr>
        <w:t>按实际选定课程的学分</w:t>
      </w:r>
      <w:r>
        <w:rPr>
          <w:rFonts w:ascii="华文仿宋" w:eastAsia="华文仿宋" w:hAnsi="华文仿宋" w:hint="eastAsia"/>
          <w:sz w:val="28"/>
          <w:szCs w:val="28"/>
        </w:rPr>
        <w:t>数量缴纳对应的</w:t>
      </w:r>
      <w:r>
        <w:rPr>
          <w:rFonts w:ascii="华文仿宋" w:eastAsia="华文仿宋" w:hAnsi="华文仿宋"/>
          <w:sz w:val="28"/>
          <w:szCs w:val="28"/>
        </w:rPr>
        <w:t>学分学费。</w:t>
      </w:r>
    </w:p>
    <w:p w14:paraId="2E38E6CB" w14:textId="77777777" w:rsidR="007574F2" w:rsidRDefault="00182CEC">
      <w:pPr>
        <w:spacing w:line="480" w:lineRule="exact"/>
        <w:ind w:firstLine="564"/>
        <w:rPr>
          <w:rFonts w:ascii="华文仿宋" w:eastAsia="华文仿宋" w:hAnsi="华文仿宋"/>
          <w:b/>
          <w:sz w:val="28"/>
          <w:szCs w:val="28"/>
        </w:rPr>
      </w:pPr>
      <w:r>
        <w:rPr>
          <w:rFonts w:ascii="华文仿宋" w:eastAsia="华文仿宋" w:hAnsi="华文仿宋" w:hint="eastAsia"/>
          <w:b/>
          <w:sz w:val="28"/>
          <w:szCs w:val="28"/>
        </w:rPr>
        <w:t>三、特别说明</w:t>
      </w:r>
    </w:p>
    <w:p w14:paraId="79417592" w14:textId="77777777" w:rsidR="007574F2" w:rsidRDefault="00182CEC">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w:t>
      </w:r>
      <w:r>
        <w:rPr>
          <w:rFonts w:ascii="华文仿宋" w:eastAsia="华文仿宋" w:hAnsi="华文仿宋" w:hint="eastAsia"/>
          <w:sz w:val="28"/>
          <w:szCs w:val="28"/>
        </w:rPr>
        <w:t>正常情况下，通过学分制完成本科学业缴纳学费的总金额不会超过学年制下的总金额。</w:t>
      </w:r>
    </w:p>
    <w:p w14:paraId="0F368A71" w14:textId="7B8C47D0" w:rsidR="007574F2" w:rsidRDefault="00182CEC">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w:t>
      </w:r>
      <w:r>
        <w:rPr>
          <w:rFonts w:hint="eastAsia"/>
        </w:rPr>
        <w:t xml:space="preserve"> </w:t>
      </w:r>
      <w:r>
        <w:rPr>
          <w:rFonts w:ascii="华文仿宋" w:eastAsia="华文仿宋" w:hAnsi="华文仿宋" w:hint="eastAsia"/>
          <w:sz w:val="28"/>
          <w:szCs w:val="28"/>
        </w:rPr>
        <w:t>由于各专业人才培养方案设定不同，通常大一、大二年级学生的课程学分较高，所以大一、大二的学分学费相较于其他年级高一些。</w:t>
      </w:r>
      <w:r>
        <w:rPr>
          <w:rFonts w:ascii="华文仿宋" w:eastAsia="华文仿宋" w:hAnsi="华文仿宋" w:hint="eastAsia"/>
          <w:sz w:val="28"/>
          <w:szCs w:val="28"/>
        </w:rPr>
        <w:lastRenderedPageBreak/>
        <w:t>大三、大四的课程学分相对较少，大三大四所需缴纳的学分学费会低一些。（每位同学可以通过教务管理系统查询本人的学分学费缴纳清单）。</w:t>
      </w:r>
    </w:p>
    <w:p w14:paraId="18A87DE9" w14:textId="4F6165B7" w:rsidR="007574F2" w:rsidRDefault="00182CEC">
      <w:pPr>
        <w:spacing w:line="4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相关咨询电话，计划财务处</w:t>
      </w:r>
      <w:r>
        <w:rPr>
          <w:rFonts w:ascii="华文仿宋" w:eastAsia="华文仿宋" w:hAnsi="华文仿宋"/>
          <w:sz w:val="28"/>
          <w:szCs w:val="28"/>
        </w:rPr>
        <w:t>83863005</w:t>
      </w:r>
      <w:r>
        <w:rPr>
          <w:rFonts w:ascii="华文仿宋" w:eastAsia="华文仿宋" w:hAnsi="华文仿宋" w:hint="eastAsia"/>
          <w:sz w:val="28"/>
          <w:szCs w:val="28"/>
        </w:rPr>
        <w:t xml:space="preserve">、教务处 </w:t>
      </w:r>
      <w:r>
        <w:rPr>
          <w:rFonts w:ascii="华文仿宋" w:eastAsia="华文仿宋" w:hAnsi="华文仿宋"/>
          <w:sz w:val="28"/>
          <w:szCs w:val="28"/>
        </w:rPr>
        <w:t>83863712</w:t>
      </w:r>
    </w:p>
    <w:p w14:paraId="62D34603" w14:textId="77777777" w:rsidR="007574F2" w:rsidRDefault="007574F2">
      <w:pPr>
        <w:rPr>
          <w:rFonts w:ascii="华文仿宋" w:eastAsia="华文仿宋" w:hAnsi="华文仿宋"/>
          <w:sz w:val="28"/>
          <w:szCs w:val="28"/>
        </w:rPr>
      </w:pPr>
    </w:p>
    <w:p w14:paraId="6BD33723" w14:textId="6687FDFC" w:rsidR="007574F2" w:rsidRDefault="00182CEC">
      <w:pPr>
        <w:tabs>
          <w:tab w:val="left" w:pos="5516"/>
        </w:tabs>
        <w:rPr>
          <w:rFonts w:ascii="华文仿宋" w:eastAsia="华文仿宋" w:hAnsi="华文仿宋"/>
          <w:sz w:val="28"/>
          <w:szCs w:val="28"/>
        </w:rPr>
      </w:pPr>
      <w:r>
        <w:rPr>
          <w:rFonts w:ascii="华文仿宋" w:eastAsia="华文仿宋" w:hAnsi="华文仿宋"/>
          <w:sz w:val="28"/>
          <w:szCs w:val="28"/>
        </w:rPr>
        <w:tab/>
      </w:r>
      <w:r>
        <w:rPr>
          <w:rFonts w:ascii="华文仿宋" w:eastAsia="华文仿宋" w:hAnsi="华文仿宋" w:hint="eastAsia"/>
          <w:sz w:val="28"/>
          <w:szCs w:val="28"/>
        </w:rPr>
        <w:t xml:space="preserve"> 计划财务处  教务处 </w:t>
      </w:r>
    </w:p>
    <w:p w14:paraId="2CFB840B" w14:textId="77777777" w:rsidR="007574F2" w:rsidRDefault="00182CEC">
      <w:pPr>
        <w:tabs>
          <w:tab w:val="left" w:pos="5792"/>
        </w:tabs>
        <w:rPr>
          <w:rFonts w:ascii="华文仿宋" w:eastAsia="华文仿宋" w:hAnsi="华文仿宋"/>
          <w:sz w:val="28"/>
          <w:szCs w:val="28"/>
        </w:rPr>
      </w:pPr>
      <w:r>
        <w:rPr>
          <w:rFonts w:ascii="华文仿宋" w:eastAsia="华文仿宋" w:hAnsi="华文仿宋"/>
          <w:sz w:val="28"/>
          <w:szCs w:val="28"/>
        </w:rPr>
        <w:tab/>
        <w:t>2024</w:t>
      </w:r>
      <w:r>
        <w:rPr>
          <w:rFonts w:ascii="华文仿宋" w:eastAsia="华文仿宋" w:hAnsi="华文仿宋" w:hint="eastAsia"/>
          <w:sz w:val="28"/>
          <w:szCs w:val="28"/>
        </w:rPr>
        <w:t>年1</w:t>
      </w:r>
      <w:r>
        <w:rPr>
          <w:rFonts w:ascii="华文仿宋" w:eastAsia="华文仿宋" w:hAnsi="华文仿宋"/>
          <w:sz w:val="28"/>
          <w:szCs w:val="28"/>
        </w:rPr>
        <w:t>2</w:t>
      </w:r>
      <w:r>
        <w:rPr>
          <w:rFonts w:ascii="华文仿宋" w:eastAsia="华文仿宋" w:hAnsi="华文仿宋" w:hint="eastAsia"/>
          <w:sz w:val="28"/>
          <w:szCs w:val="28"/>
        </w:rPr>
        <w:t>月</w:t>
      </w:r>
      <w:r>
        <w:rPr>
          <w:rFonts w:ascii="华文仿宋" w:eastAsia="华文仿宋" w:hAnsi="华文仿宋"/>
          <w:sz w:val="28"/>
          <w:szCs w:val="28"/>
        </w:rPr>
        <w:t>25</w:t>
      </w:r>
      <w:r>
        <w:rPr>
          <w:rFonts w:ascii="华文仿宋" w:eastAsia="华文仿宋" w:hAnsi="华文仿宋" w:hint="eastAsia"/>
          <w:sz w:val="28"/>
          <w:szCs w:val="28"/>
        </w:rPr>
        <w:t>日</w:t>
      </w:r>
    </w:p>
    <w:sectPr w:rsidR="007574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A4B00" w14:textId="77777777" w:rsidR="00263747" w:rsidRDefault="00263747" w:rsidP="00E638AF">
      <w:r>
        <w:separator/>
      </w:r>
    </w:p>
  </w:endnote>
  <w:endnote w:type="continuationSeparator" w:id="0">
    <w:p w14:paraId="3A2AEE53" w14:textId="77777777" w:rsidR="00263747" w:rsidRDefault="00263747" w:rsidP="00E6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D39B1" w14:textId="77777777" w:rsidR="00263747" w:rsidRDefault="00263747" w:rsidP="00E638AF">
      <w:r>
        <w:separator/>
      </w:r>
    </w:p>
  </w:footnote>
  <w:footnote w:type="continuationSeparator" w:id="0">
    <w:p w14:paraId="563A69E9" w14:textId="77777777" w:rsidR="00263747" w:rsidRDefault="00263747" w:rsidP="00E638A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葡萄叶">
    <w15:presenceInfo w15:providerId="WPS Office" w15:userId="6563210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6C"/>
    <w:rsid w:val="000D206C"/>
    <w:rsid w:val="00182CEC"/>
    <w:rsid w:val="002447DD"/>
    <w:rsid w:val="00256E34"/>
    <w:rsid w:val="00263747"/>
    <w:rsid w:val="006E51AD"/>
    <w:rsid w:val="007574F2"/>
    <w:rsid w:val="00765568"/>
    <w:rsid w:val="00833B9D"/>
    <w:rsid w:val="00991D19"/>
    <w:rsid w:val="009D0654"/>
    <w:rsid w:val="00A67105"/>
    <w:rsid w:val="00A87F7C"/>
    <w:rsid w:val="00BF62A6"/>
    <w:rsid w:val="00CA2271"/>
    <w:rsid w:val="00E17241"/>
    <w:rsid w:val="00E36960"/>
    <w:rsid w:val="00E638AF"/>
    <w:rsid w:val="00EC682B"/>
    <w:rsid w:val="00F22C1B"/>
    <w:rsid w:val="00FF20E9"/>
    <w:rsid w:val="4401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38AF"/>
    <w:rPr>
      <w:sz w:val="18"/>
      <w:szCs w:val="18"/>
    </w:rPr>
  </w:style>
  <w:style w:type="character" w:customStyle="1" w:styleId="Char">
    <w:name w:val="批注框文本 Char"/>
    <w:basedOn w:val="a0"/>
    <w:link w:val="a3"/>
    <w:uiPriority w:val="99"/>
    <w:semiHidden/>
    <w:rsid w:val="00E638AF"/>
    <w:rPr>
      <w:kern w:val="2"/>
      <w:sz w:val="18"/>
      <w:szCs w:val="18"/>
    </w:rPr>
  </w:style>
  <w:style w:type="paragraph" w:styleId="a4">
    <w:name w:val="header"/>
    <w:basedOn w:val="a"/>
    <w:link w:val="Char0"/>
    <w:uiPriority w:val="99"/>
    <w:unhideWhenUsed/>
    <w:rsid w:val="00E638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638AF"/>
    <w:rPr>
      <w:kern w:val="2"/>
      <w:sz w:val="18"/>
      <w:szCs w:val="18"/>
    </w:rPr>
  </w:style>
  <w:style w:type="paragraph" w:styleId="a5">
    <w:name w:val="footer"/>
    <w:basedOn w:val="a"/>
    <w:link w:val="Char1"/>
    <w:uiPriority w:val="99"/>
    <w:unhideWhenUsed/>
    <w:rsid w:val="00E638AF"/>
    <w:pPr>
      <w:tabs>
        <w:tab w:val="center" w:pos="4153"/>
        <w:tab w:val="right" w:pos="8306"/>
      </w:tabs>
      <w:snapToGrid w:val="0"/>
      <w:jc w:val="left"/>
    </w:pPr>
    <w:rPr>
      <w:sz w:val="18"/>
      <w:szCs w:val="18"/>
    </w:rPr>
  </w:style>
  <w:style w:type="character" w:customStyle="1" w:styleId="Char1">
    <w:name w:val="页脚 Char"/>
    <w:basedOn w:val="a0"/>
    <w:link w:val="a5"/>
    <w:uiPriority w:val="99"/>
    <w:rsid w:val="00E638A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38AF"/>
    <w:rPr>
      <w:sz w:val="18"/>
      <w:szCs w:val="18"/>
    </w:rPr>
  </w:style>
  <w:style w:type="character" w:customStyle="1" w:styleId="Char">
    <w:name w:val="批注框文本 Char"/>
    <w:basedOn w:val="a0"/>
    <w:link w:val="a3"/>
    <w:uiPriority w:val="99"/>
    <w:semiHidden/>
    <w:rsid w:val="00E638AF"/>
    <w:rPr>
      <w:kern w:val="2"/>
      <w:sz w:val="18"/>
      <w:szCs w:val="18"/>
    </w:rPr>
  </w:style>
  <w:style w:type="paragraph" w:styleId="a4">
    <w:name w:val="header"/>
    <w:basedOn w:val="a"/>
    <w:link w:val="Char0"/>
    <w:uiPriority w:val="99"/>
    <w:unhideWhenUsed/>
    <w:rsid w:val="00E638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638AF"/>
    <w:rPr>
      <w:kern w:val="2"/>
      <w:sz w:val="18"/>
      <w:szCs w:val="18"/>
    </w:rPr>
  </w:style>
  <w:style w:type="paragraph" w:styleId="a5">
    <w:name w:val="footer"/>
    <w:basedOn w:val="a"/>
    <w:link w:val="Char1"/>
    <w:uiPriority w:val="99"/>
    <w:unhideWhenUsed/>
    <w:rsid w:val="00E638AF"/>
    <w:pPr>
      <w:tabs>
        <w:tab w:val="center" w:pos="4153"/>
        <w:tab w:val="right" w:pos="8306"/>
      </w:tabs>
      <w:snapToGrid w:val="0"/>
      <w:jc w:val="left"/>
    </w:pPr>
    <w:rPr>
      <w:sz w:val="18"/>
      <w:szCs w:val="18"/>
    </w:rPr>
  </w:style>
  <w:style w:type="character" w:customStyle="1" w:styleId="Char1">
    <w:name w:val="页脚 Char"/>
    <w:basedOn w:val="a0"/>
    <w:link w:val="a5"/>
    <w:uiPriority w:val="99"/>
    <w:rsid w:val="00E638A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1144</Characters>
  <Application>Microsoft Office Word</Application>
  <DocSecurity>0</DocSecurity>
  <Lines>9</Lines>
  <Paragraphs>2</Paragraphs>
  <ScaleCrop>false</ScaleCrop>
  <Company>HP Inc.</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w'y'p</cp:lastModifiedBy>
  <cp:revision>4</cp:revision>
  <dcterms:created xsi:type="dcterms:W3CDTF">2024-12-27T01:48:00Z</dcterms:created>
  <dcterms:modified xsi:type="dcterms:W3CDTF">2024-12-27T04:00:00Z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eyJoZGlkIjoiYWE0YTM1YjJhN2IwZWZkZWM5ZDkyMmYzNzkzZjFjYzIiLCJ1c2VySWQiOiIxNjA4OTU4Mjc3In0=</vt:lpwstr>
  </property>
  <property fmtid="{D5CDD505-2E9C-101B-9397-08002B2CF9AE}" pid="3" name="KSOProductBuildVer">
    <vt:lpwstr>2052-12.1.0.19302</vt:lpwstr>
  </property>
  <property fmtid="{D5CDD505-2E9C-101B-9397-08002B2CF9AE}" pid="4" name="ICV">
    <vt:lpwstr>C66E0E9F02D44DA5A339F29CF8A4F5F0_12</vt:lpwstr>
  </property>
</Properties>
</file>